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EB6" w:rsidRPr="001C0DE9" w:rsidRDefault="001C0DE9">
      <w:pPr>
        <w:rPr>
          <w:rFonts w:ascii="Arial" w:hAnsi="Arial" w:cs="Arial"/>
          <w:b/>
          <w:sz w:val="22"/>
          <w:szCs w:val="22"/>
          <w:u w:val="single"/>
          <w:lang w:val="fr-FR"/>
        </w:rPr>
      </w:pPr>
      <w:r w:rsidRPr="001C0DE9">
        <w:rPr>
          <w:rFonts w:ascii="Arial" w:hAnsi="Arial" w:cs="Arial"/>
          <w:b/>
          <w:sz w:val="22"/>
          <w:szCs w:val="22"/>
          <w:u w:val="single"/>
          <w:lang w:val="fr-FR"/>
        </w:rPr>
        <w:t>Module G3 Exercice 3 – Rôles des superviseurs et travailleurs sociaux</w:t>
      </w:r>
      <w:r w:rsidRPr="001C0DE9">
        <w:rPr>
          <w:rStyle w:val="FootnoteReference"/>
          <w:rFonts w:ascii="Arial" w:hAnsi="Arial" w:cs="Arial"/>
          <w:b/>
          <w:sz w:val="22"/>
          <w:szCs w:val="22"/>
          <w:u w:val="single"/>
          <w:lang w:val="fr-FR"/>
        </w:rPr>
        <w:footnoteReference w:id="1"/>
      </w:r>
    </w:p>
    <w:p w:rsidR="001C0DE9" w:rsidRPr="001C0DE9" w:rsidRDefault="001C0DE9">
      <w:pPr>
        <w:rPr>
          <w:rFonts w:ascii="Arial" w:hAnsi="Arial" w:cs="Arial"/>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9"/>
        <w:gridCol w:w="4247"/>
      </w:tblGrid>
      <w:tr w:rsidR="001C0DE9" w:rsidRPr="001C0DE9" w:rsidTr="008B745D">
        <w:tc>
          <w:tcPr>
            <w:tcW w:w="4621" w:type="dxa"/>
          </w:tcPr>
          <w:p w:rsidR="001C0DE9" w:rsidRPr="001C0DE9" w:rsidRDefault="001C0DE9" w:rsidP="008B745D">
            <w:pPr>
              <w:spacing w:line="276" w:lineRule="auto"/>
              <w:jc w:val="center"/>
              <w:rPr>
                <w:rFonts w:ascii="Arial" w:hAnsi="Arial" w:cs="Arial"/>
                <w:b/>
                <w:sz w:val="22"/>
                <w:szCs w:val="22"/>
                <w:lang w:val="fr-FR"/>
              </w:rPr>
            </w:pPr>
          </w:p>
          <w:p w:rsidR="001C0DE9" w:rsidRPr="001C0DE9" w:rsidRDefault="001C0DE9" w:rsidP="008B745D">
            <w:pPr>
              <w:spacing w:line="276" w:lineRule="auto"/>
              <w:jc w:val="center"/>
              <w:rPr>
                <w:rFonts w:ascii="Arial" w:hAnsi="Arial" w:cs="Arial"/>
                <w:b/>
                <w:sz w:val="22"/>
                <w:szCs w:val="22"/>
                <w:lang w:val="fr-FR"/>
              </w:rPr>
            </w:pPr>
            <w:r w:rsidRPr="001C0DE9">
              <w:rPr>
                <w:rFonts w:ascii="Arial" w:hAnsi="Arial" w:cs="Arial"/>
                <w:b/>
                <w:bCs/>
                <w:sz w:val="22"/>
                <w:szCs w:val="22"/>
                <w:lang w:val="fr-FR"/>
              </w:rPr>
              <w:t>Obligations des travailleurs sociaux</w:t>
            </w:r>
          </w:p>
        </w:tc>
        <w:tc>
          <w:tcPr>
            <w:tcW w:w="4621" w:type="dxa"/>
          </w:tcPr>
          <w:p w:rsidR="001C0DE9" w:rsidRPr="001C0DE9" w:rsidRDefault="001C0DE9" w:rsidP="008B745D">
            <w:pPr>
              <w:spacing w:line="276" w:lineRule="auto"/>
              <w:jc w:val="center"/>
              <w:rPr>
                <w:rFonts w:ascii="Arial" w:hAnsi="Arial" w:cs="Arial"/>
                <w:b/>
                <w:sz w:val="22"/>
                <w:szCs w:val="22"/>
                <w:lang w:val="fr-FR"/>
              </w:rPr>
            </w:pPr>
          </w:p>
          <w:p w:rsidR="001C0DE9" w:rsidRPr="001C0DE9" w:rsidRDefault="001C0DE9" w:rsidP="008B745D">
            <w:pPr>
              <w:spacing w:line="276" w:lineRule="auto"/>
              <w:jc w:val="center"/>
              <w:rPr>
                <w:rFonts w:ascii="Arial" w:hAnsi="Arial" w:cs="Arial"/>
                <w:b/>
                <w:sz w:val="22"/>
                <w:szCs w:val="22"/>
                <w:lang w:val="fr-FR"/>
              </w:rPr>
            </w:pPr>
            <w:r w:rsidRPr="001C0DE9">
              <w:rPr>
                <w:rFonts w:ascii="Arial" w:hAnsi="Arial" w:cs="Arial"/>
                <w:b/>
                <w:bCs/>
                <w:sz w:val="22"/>
                <w:szCs w:val="22"/>
                <w:lang w:val="fr-FR"/>
              </w:rPr>
              <w:t>Obligations des responsables &amp; superviseurs</w:t>
            </w:r>
          </w:p>
        </w:tc>
      </w:tr>
      <w:tr w:rsidR="001C0DE9" w:rsidRPr="001C0DE9" w:rsidTr="008B745D">
        <w:tc>
          <w:tcPr>
            <w:tcW w:w="4621" w:type="dxa"/>
          </w:tcPr>
          <w:p w:rsidR="001C0DE9" w:rsidRPr="001C0DE9" w:rsidRDefault="001C0DE9" w:rsidP="008B745D">
            <w:pPr>
              <w:spacing w:before="120" w:after="120" w:line="276" w:lineRule="auto"/>
              <w:rPr>
                <w:rFonts w:ascii="Arial" w:hAnsi="Arial" w:cs="Arial"/>
                <w:sz w:val="22"/>
                <w:szCs w:val="22"/>
                <w:lang w:val="fr-FR"/>
              </w:rPr>
            </w:pPr>
            <w:r w:rsidRPr="001C0DE9">
              <w:rPr>
                <w:rFonts w:ascii="Arial" w:hAnsi="Arial" w:cs="Arial"/>
                <w:sz w:val="22"/>
                <w:szCs w:val="22"/>
                <w:lang w:val="fr-FR"/>
              </w:rPr>
              <w:t xml:space="preserve">Identifier les dossiers individuels par une présence régulière dans la communauté et accepter les référencements effectuées par d’autres organisations et partenaires communautaires. </w:t>
            </w:r>
          </w:p>
        </w:tc>
        <w:tc>
          <w:tcPr>
            <w:tcW w:w="4621" w:type="dxa"/>
          </w:tcPr>
          <w:p w:rsidR="001C0DE9" w:rsidRPr="001C0DE9" w:rsidRDefault="001C0DE9" w:rsidP="008B745D">
            <w:pPr>
              <w:spacing w:before="120" w:after="120" w:line="276" w:lineRule="auto"/>
              <w:rPr>
                <w:rFonts w:ascii="Arial" w:hAnsi="Arial" w:cs="Arial"/>
                <w:sz w:val="22"/>
                <w:szCs w:val="22"/>
                <w:lang w:val="fr-FR"/>
              </w:rPr>
            </w:pPr>
            <w:r w:rsidRPr="001C0DE9">
              <w:rPr>
                <w:rFonts w:ascii="Arial" w:hAnsi="Arial" w:cs="Arial"/>
                <w:sz w:val="22"/>
                <w:szCs w:val="22"/>
                <w:lang w:val="fr-FR"/>
              </w:rPr>
              <w:t>Programmer et superviser les réunions de gestion de dossiers au moins toutes les deux semaines. Partager les comptes rendus des réunions de gestion de dossiers avec l’équipe et les instances dirigeantes de la protection de l’enfance.</w:t>
            </w:r>
          </w:p>
        </w:tc>
      </w:tr>
      <w:tr w:rsidR="001C0DE9" w:rsidRPr="001C0DE9" w:rsidTr="008B745D">
        <w:tc>
          <w:tcPr>
            <w:tcW w:w="4621" w:type="dxa"/>
          </w:tcPr>
          <w:p w:rsidR="001C0DE9" w:rsidRPr="001C0DE9" w:rsidRDefault="001C0DE9" w:rsidP="008B745D">
            <w:pPr>
              <w:spacing w:before="120" w:after="120" w:line="276" w:lineRule="auto"/>
              <w:rPr>
                <w:rFonts w:ascii="Arial" w:hAnsi="Arial" w:cs="Arial"/>
                <w:sz w:val="22"/>
                <w:szCs w:val="22"/>
                <w:lang w:val="fr-FR"/>
              </w:rPr>
            </w:pPr>
            <w:r w:rsidRPr="001C0DE9">
              <w:rPr>
                <w:rFonts w:ascii="Arial" w:hAnsi="Arial" w:cs="Arial"/>
                <w:sz w:val="22"/>
                <w:szCs w:val="22"/>
                <w:lang w:val="fr-FR"/>
              </w:rPr>
              <w:t>Effectuer des évaluations initiales (rapides) des dossiers de protection des enfants et fixer un ordre de priorité en fonction du niveau de risque.</w:t>
            </w:r>
          </w:p>
        </w:tc>
        <w:tc>
          <w:tcPr>
            <w:tcW w:w="4621" w:type="dxa"/>
          </w:tcPr>
          <w:p w:rsidR="001C0DE9" w:rsidRPr="001C0DE9" w:rsidRDefault="001C0DE9" w:rsidP="008B745D">
            <w:pPr>
              <w:spacing w:before="120" w:after="120" w:line="276" w:lineRule="auto"/>
              <w:rPr>
                <w:rFonts w:ascii="Arial" w:hAnsi="Arial" w:cs="Arial"/>
                <w:sz w:val="22"/>
                <w:szCs w:val="22"/>
                <w:lang w:val="fr-FR"/>
              </w:rPr>
            </w:pPr>
            <w:r w:rsidRPr="001C0DE9">
              <w:rPr>
                <w:rFonts w:ascii="Arial" w:hAnsi="Arial" w:cs="Arial"/>
                <w:sz w:val="22"/>
                <w:szCs w:val="22"/>
                <w:lang w:val="fr-FR"/>
              </w:rPr>
              <w:t>Organiser des réunions de supervision hebdomadaires avec tous les travailleurs sociaux ; fournir des conseils techniques sur les dossiers et apporter un soutien psychosocial aux travailleurs sociaux. Encourager les groupes de soutien entre pairs le cas échéant.</w:t>
            </w:r>
          </w:p>
        </w:tc>
      </w:tr>
      <w:tr w:rsidR="001C0DE9" w:rsidRPr="001C0DE9" w:rsidTr="008B745D">
        <w:tc>
          <w:tcPr>
            <w:tcW w:w="4621" w:type="dxa"/>
          </w:tcPr>
          <w:p w:rsidR="001C0DE9" w:rsidRPr="001C0DE9" w:rsidRDefault="001C0DE9" w:rsidP="008B745D">
            <w:pPr>
              <w:spacing w:before="120" w:after="120" w:line="276" w:lineRule="auto"/>
              <w:rPr>
                <w:rFonts w:ascii="Arial" w:hAnsi="Arial" w:cs="Arial"/>
                <w:sz w:val="22"/>
                <w:szCs w:val="22"/>
                <w:lang w:val="fr-FR"/>
              </w:rPr>
            </w:pPr>
            <w:r w:rsidRPr="001C0DE9">
              <w:rPr>
                <w:rFonts w:ascii="Arial" w:hAnsi="Arial" w:cs="Arial"/>
                <w:sz w:val="22"/>
                <w:szCs w:val="22"/>
                <w:lang w:val="fr-FR"/>
              </w:rPr>
              <w:t xml:space="preserve">Élaborer des plans de prise en charge qui répondent aux besoins exprimés dans les évaluations initiales et complètes, et solliciter l’appui des superviseurs en cas de besoin. </w:t>
            </w:r>
          </w:p>
        </w:tc>
        <w:tc>
          <w:tcPr>
            <w:tcW w:w="4621" w:type="dxa"/>
          </w:tcPr>
          <w:p w:rsidR="001C0DE9" w:rsidRPr="001C0DE9" w:rsidRDefault="001C0DE9" w:rsidP="008B745D">
            <w:pPr>
              <w:spacing w:before="120" w:after="120" w:line="276" w:lineRule="auto"/>
              <w:rPr>
                <w:rFonts w:ascii="Arial" w:hAnsi="Arial" w:cs="Arial"/>
                <w:sz w:val="22"/>
                <w:szCs w:val="22"/>
                <w:lang w:val="fr-FR"/>
              </w:rPr>
            </w:pPr>
            <w:r w:rsidRPr="001C0DE9">
              <w:rPr>
                <w:rFonts w:ascii="Arial" w:hAnsi="Arial" w:cs="Arial"/>
                <w:sz w:val="22"/>
                <w:szCs w:val="22"/>
                <w:lang w:val="fr-FR"/>
              </w:rPr>
              <w:t>Soutenir les dossiers individuels, lorsque cela est nécessaire, et assurer un suivi régulier de tous les aspects des services de gestion de dossiers.</w:t>
            </w:r>
          </w:p>
        </w:tc>
      </w:tr>
      <w:tr w:rsidR="001C0DE9" w:rsidRPr="001C0DE9" w:rsidTr="008B745D">
        <w:tc>
          <w:tcPr>
            <w:tcW w:w="4621" w:type="dxa"/>
          </w:tcPr>
          <w:p w:rsidR="001C0DE9" w:rsidRPr="001C0DE9" w:rsidRDefault="001C0DE9" w:rsidP="008B745D">
            <w:pPr>
              <w:spacing w:before="120" w:after="120" w:line="276" w:lineRule="auto"/>
              <w:rPr>
                <w:rFonts w:ascii="Arial" w:hAnsi="Arial" w:cs="Arial"/>
                <w:sz w:val="22"/>
                <w:szCs w:val="22"/>
                <w:lang w:val="fr-FR"/>
              </w:rPr>
            </w:pPr>
            <w:r w:rsidRPr="001C0DE9">
              <w:rPr>
                <w:rFonts w:ascii="Arial" w:hAnsi="Arial" w:cs="Arial"/>
                <w:sz w:val="22"/>
                <w:szCs w:val="22"/>
                <w:lang w:val="fr-FR"/>
              </w:rPr>
              <w:t xml:space="preserve">Effectuer un suivi régulier visant à vérifier que tous les services et les points d’action énumérés dans le plan de prise en charge sont réalisés dans les délais convenus. Veiller à contrôler régulièrement les évolutions. </w:t>
            </w:r>
          </w:p>
        </w:tc>
        <w:tc>
          <w:tcPr>
            <w:tcW w:w="4621" w:type="dxa"/>
          </w:tcPr>
          <w:p w:rsidR="001C0DE9" w:rsidRPr="001C0DE9" w:rsidRDefault="001C0DE9" w:rsidP="008B745D">
            <w:pPr>
              <w:spacing w:before="120" w:after="120" w:line="276" w:lineRule="auto"/>
              <w:rPr>
                <w:rFonts w:ascii="Arial" w:hAnsi="Arial" w:cs="Arial"/>
                <w:sz w:val="22"/>
                <w:szCs w:val="22"/>
                <w:lang w:val="fr-FR"/>
              </w:rPr>
            </w:pPr>
            <w:r w:rsidRPr="001C0DE9">
              <w:rPr>
                <w:rFonts w:ascii="Arial" w:hAnsi="Arial" w:cs="Arial"/>
                <w:sz w:val="22"/>
                <w:szCs w:val="22"/>
                <w:lang w:val="fr-FR"/>
              </w:rPr>
              <w:t xml:space="preserve">S’assurer que les lacunes du personnel et leurs besoins de formation ne donnent pas lieu à des lacunes dans le soutien apporté aux personnes en attente de services, et gérer ces questions avec les responsables. </w:t>
            </w:r>
          </w:p>
        </w:tc>
      </w:tr>
      <w:tr w:rsidR="001C0DE9" w:rsidRPr="001C0DE9" w:rsidTr="008B745D">
        <w:tc>
          <w:tcPr>
            <w:tcW w:w="4621" w:type="dxa"/>
          </w:tcPr>
          <w:p w:rsidR="001C0DE9" w:rsidRPr="001C0DE9" w:rsidRDefault="001C0DE9" w:rsidP="008B745D">
            <w:pPr>
              <w:spacing w:before="120" w:after="120" w:line="276" w:lineRule="auto"/>
              <w:rPr>
                <w:rFonts w:ascii="Arial" w:hAnsi="Arial" w:cs="Arial"/>
                <w:sz w:val="22"/>
                <w:szCs w:val="22"/>
                <w:lang w:val="fr-FR"/>
              </w:rPr>
            </w:pPr>
            <w:r w:rsidRPr="001C0DE9">
              <w:rPr>
                <w:rFonts w:ascii="Arial" w:hAnsi="Arial" w:cs="Arial"/>
                <w:sz w:val="22"/>
                <w:szCs w:val="22"/>
                <w:lang w:val="fr-FR"/>
              </w:rPr>
              <w:t xml:space="preserve">Suivre régulièrement et soutenir les enfants et leurs familles à travers les visites à domicile, l’orientation, les conseils et le soutien affectif, ainsi que la médiation de la communauté. </w:t>
            </w:r>
          </w:p>
        </w:tc>
        <w:tc>
          <w:tcPr>
            <w:tcW w:w="4621" w:type="dxa"/>
          </w:tcPr>
          <w:p w:rsidR="001C0DE9" w:rsidRPr="001C0DE9" w:rsidRDefault="001C0DE9" w:rsidP="008B745D">
            <w:pPr>
              <w:spacing w:before="120" w:after="120" w:line="276" w:lineRule="auto"/>
              <w:rPr>
                <w:rFonts w:ascii="Arial" w:hAnsi="Arial" w:cs="Arial"/>
                <w:sz w:val="22"/>
                <w:szCs w:val="22"/>
                <w:lang w:val="fr-FR"/>
              </w:rPr>
            </w:pPr>
            <w:r w:rsidRPr="001C0DE9">
              <w:rPr>
                <w:rFonts w:ascii="Arial" w:hAnsi="Arial" w:cs="Arial"/>
                <w:sz w:val="22"/>
                <w:szCs w:val="22"/>
                <w:lang w:val="fr-FR"/>
              </w:rPr>
              <w:t xml:space="preserve">Revoir la charge de travail du personnel pour s’assurer qu’elle est gérable et présenter les difficultés aux responsables. </w:t>
            </w:r>
          </w:p>
        </w:tc>
      </w:tr>
      <w:tr w:rsidR="001C0DE9" w:rsidRPr="001C0DE9" w:rsidTr="008B745D">
        <w:tc>
          <w:tcPr>
            <w:tcW w:w="4621" w:type="dxa"/>
          </w:tcPr>
          <w:p w:rsidR="001C0DE9" w:rsidRPr="001C0DE9" w:rsidRDefault="001C0DE9" w:rsidP="008B745D">
            <w:pPr>
              <w:spacing w:before="120" w:after="120" w:line="276" w:lineRule="auto"/>
              <w:rPr>
                <w:rFonts w:ascii="Arial" w:hAnsi="Arial" w:cs="Arial"/>
                <w:sz w:val="22"/>
                <w:szCs w:val="22"/>
                <w:lang w:val="fr-FR"/>
              </w:rPr>
            </w:pPr>
            <w:r w:rsidRPr="001C0DE9">
              <w:rPr>
                <w:rFonts w:ascii="Arial" w:hAnsi="Arial" w:cs="Arial"/>
                <w:sz w:val="22"/>
                <w:szCs w:val="22"/>
                <w:lang w:val="fr-FR"/>
              </w:rPr>
              <w:t xml:space="preserve">Collaborer avec les superviseurs et les responsables en vue de l’organisation des conférences de prise en charge pour la gestion des dossiers complexes, et s’assurer que les enfants reçoivent un </w:t>
            </w:r>
            <w:r w:rsidRPr="001C0DE9">
              <w:rPr>
                <w:rFonts w:ascii="Arial" w:hAnsi="Arial" w:cs="Arial"/>
                <w:sz w:val="22"/>
                <w:szCs w:val="22"/>
                <w:lang w:val="fr-FR"/>
              </w:rPr>
              <w:lastRenderedPageBreak/>
              <w:t xml:space="preserve">soutien multidisciplinaire. </w:t>
            </w:r>
          </w:p>
        </w:tc>
        <w:tc>
          <w:tcPr>
            <w:tcW w:w="4621" w:type="dxa"/>
          </w:tcPr>
          <w:p w:rsidR="001C0DE9" w:rsidRPr="001C0DE9" w:rsidRDefault="001C0DE9" w:rsidP="008B745D">
            <w:pPr>
              <w:spacing w:before="120" w:after="120" w:line="276" w:lineRule="auto"/>
              <w:rPr>
                <w:rFonts w:ascii="Arial" w:hAnsi="Arial" w:cs="Arial"/>
                <w:sz w:val="22"/>
                <w:szCs w:val="22"/>
                <w:lang w:val="fr-FR"/>
              </w:rPr>
            </w:pPr>
            <w:r w:rsidRPr="001C0DE9">
              <w:rPr>
                <w:rFonts w:ascii="Arial" w:hAnsi="Arial" w:cs="Arial"/>
                <w:sz w:val="22"/>
                <w:szCs w:val="22"/>
                <w:lang w:val="fr-FR"/>
              </w:rPr>
              <w:lastRenderedPageBreak/>
              <w:t>Gérer les délais en vue de l’optimisation de l’in</w:t>
            </w:r>
            <w:bookmarkStart w:id="0" w:name="_GoBack"/>
            <w:bookmarkEnd w:id="0"/>
            <w:r w:rsidRPr="001C0DE9">
              <w:rPr>
                <w:rFonts w:ascii="Arial" w:hAnsi="Arial" w:cs="Arial"/>
                <w:sz w:val="22"/>
                <w:szCs w:val="22"/>
                <w:lang w:val="fr-FR"/>
              </w:rPr>
              <w:t>tervention, de la prise de décision, du placement, du suivi et de l’évaluation.</w:t>
            </w:r>
          </w:p>
        </w:tc>
      </w:tr>
      <w:tr w:rsidR="001C0DE9" w:rsidRPr="001C0DE9" w:rsidTr="008B745D">
        <w:tc>
          <w:tcPr>
            <w:tcW w:w="4621" w:type="dxa"/>
          </w:tcPr>
          <w:p w:rsidR="001C0DE9" w:rsidRPr="001C0DE9" w:rsidRDefault="001C0DE9" w:rsidP="008B745D">
            <w:pPr>
              <w:spacing w:before="120" w:after="120" w:line="276" w:lineRule="auto"/>
              <w:rPr>
                <w:rFonts w:ascii="Arial" w:hAnsi="Arial" w:cs="Arial"/>
                <w:color w:val="FF0000"/>
                <w:sz w:val="22"/>
                <w:szCs w:val="22"/>
                <w:lang w:val="fr-FR"/>
              </w:rPr>
            </w:pPr>
            <w:r w:rsidRPr="001C0DE9">
              <w:rPr>
                <w:rFonts w:ascii="Arial" w:hAnsi="Arial" w:cs="Arial"/>
                <w:sz w:val="22"/>
                <w:szCs w:val="22"/>
                <w:lang w:val="fr-FR"/>
              </w:rPr>
              <w:lastRenderedPageBreak/>
              <w:t>Gérer les dossiers conformément aux POS, respecter les proc</w:t>
            </w:r>
            <w:r w:rsidRPr="001C0DE9">
              <w:rPr>
                <w:rFonts w:ascii="Arial" w:hAnsi="Arial" w:cs="Arial"/>
                <w:sz w:val="22"/>
                <w:szCs w:val="22"/>
                <w:lang w:val="fr-FR"/>
              </w:rPr>
              <w:t>essus de documentation standard</w:t>
            </w:r>
            <w:r w:rsidRPr="001C0DE9">
              <w:rPr>
                <w:rFonts w:ascii="Arial" w:hAnsi="Arial" w:cs="Arial"/>
                <w:sz w:val="22"/>
                <w:szCs w:val="22"/>
                <w:lang w:val="fr-FR"/>
              </w:rPr>
              <w:t xml:space="preserve"> et les meilleures pratiques.</w:t>
            </w:r>
          </w:p>
        </w:tc>
        <w:tc>
          <w:tcPr>
            <w:tcW w:w="4621" w:type="dxa"/>
          </w:tcPr>
          <w:p w:rsidR="001C0DE9" w:rsidRPr="001C0DE9" w:rsidRDefault="001C0DE9" w:rsidP="008B745D">
            <w:pPr>
              <w:spacing w:before="120" w:after="120" w:line="276" w:lineRule="auto"/>
              <w:rPr>
                <w:rFonts w:ascii="Arial" w:hAnsi="Arial" w:cs="Arial"/>
                <w:sz w:val="22"/>
                <w:szCs w:val="22"/>
                <w:lang w:val="fr-FR"/>
              </w:rPr>
            </w:pPr>
            <w:r w:rsidRPr="001C0DE9">
              <w:rPr>
                <w:rFonts w:ascii="Arial" w:hAnsi="Arial" w:cs="Arial"/>
                <w:sz w:val="22"/>
                <w:szCs w:val="22"/>
                <w:lang w:val="fr-FR"/>
              </w:rPr>
              <w:t>Garantir l’accès au soutien matériel, logistique et autre soutien technique, et fixer des critères d’éligibilité pour bénéficier du soutien matériel et de toute autre forme de soutien.</w:t>
            </w:r>
          </w:p>
        </w:tc>
      </w:tr>
      <w:tr w:rsidR="001C0DE9" w:rsidRPr="001C0DE9" w:rsidTr="008B745D">
        <w:tc>
          <w:tcPr>
            <w:tcW w:w="4621" w:type="dxa"/>
          </w:tcPr>
          <w:p w:rsidR="001C0DE9" w:rsidRPr="001C0DE9" w:rsidRDefault="001C0DE9" w:rsidP="008B745D">
            <w:pPr>
              <w:spacing w:before="120" w:after="120" w:line="276" w:lineRule="auto"/>
              <w:rPr>
                <w:rFonts w:ascii="Arial" w:hAnsi="Arial" w:cs="Arial"/>
                <w:sz w:val="22"/>
                <w:szCs w:val="22"/>
                <w:lang w:val="fr-FR"/>
              </w:rPr>
            </w:pPr>
            <w:r w:rsidRPr="001C0DE9">
              <w:rPr>
                <w:rFonts w:ascii="Arial" w:hAnsi="Arial" w:cs="Arial"/>
                <w:sz w:val="22"/>
                <w:szCs w:val="22"/>
                <w:lang w:val="fr-FR"/>
              </w:rPr>
              <w:t>Consigner régulièrement les dossiers à l’aide des notes de dossiers et autres formulaires convenus ; mettre à jour les bases de données pour assurer un archivage complet des dossiers.</w:t>
            </w:r>
          </w:p>
        </w:tc>
        <w:tc>
          <w:tcPr>
            <w:tcW w:w="4621" w:type="dxa"/>
          </w:tcPr>
          <w:p w:rsidR="001C0DE9" w:rsidRPr="001C0DE9" w:rsidRDefault="001C0DE9" w:rsidP="008B745D">
            <w:pPr>
              <w:spacing w:before="120" w:after="120" w:line="276" w:lineRule="auto"/>
              <w:rPr>
                <w:rFonts w:ascii="Arial" w:hAnsi="Arial" w:cs="Arial"/>
                <w:sz w:val="22"/>
                <w:szCs w:val="22"/>
                <w:lang w:val="fr-FR"/>
              </w:rPr>
            </w:pPr>
            <w:r w:rsidRPr="001C0DE9">
              <w:rPr>
                <w:rFonts w:ascii="Arial" w:hAnsi="Arial" w:cs="Arial"/>
                <w:sz w:val="22"/>
                <w:szCs w:val="22"/>
                <w:lang w:val="fr-FR"/>
              </w:rPr>
              <w:t>Examiner et analyser l’évolution de la charge de travail pour une meilleure planification.</w:t>
            </w:r>
          </w:p>
        </w:tc>
      </w:tr>
      <w:tr w:rsidR="001C0DE9" w:rsidRPr="001C0DE9" w:rsidTr="008B745D">
        <w:tc>
          <w:tcPr>
            <w:tcW w:w="4621" w:type="dxa"/>
          </w:tcPr>
          <w:p w:rsidR="001C0DE9" w:rsidRPr="001C0DE9" w:rsidRDefault="001C0DE9" w:rsidP="008B745D">
            <w:pPr>
              <w:spacing w:before="120" w:after="120" w:line="276" w:lineRule="auto"/>
              <w:rPr>
                <w:rFonts w:ascii="Arial" w:hAnsi="Arial" w:cs="Arial"/>
                <w:sz w:val="22"/>
                <w:szCs w:val="22"/>
                <w:lang w:val="fr-FR"/>
              </w:rPr>
            </w:pPr>
            <w:r w:rsidRPr="001C0DE9">
              <w:rPr>
                <w:rFonts w:ascii="Arial" w:hAnsi="Arial" w:cs="Arial"/>
                <w:sz w:val="22"/>
                <w:szCs w:val="22"/>
                <w:lang w:val="fr-FR"/>
              </w:rPr>
              <w:t>Veiller à ce que la collecte et le stockage des données soient réalisés conformément aux protocoles de protection des données et au principe de confidentialité.</w:t>
            </w:r>
          </w:p>
        </w:tc>
        <w:tc>
          <w:tcPr>
            <w:tcW w:w="4621" w:type="dxa"/>
          </w:tcPr>
          <w:p w:rsidR="001C0DE9" w:rsidRPr="001C0DE9" w:rsidRDefault="001C0DE9" w:rsidP="008B745D">
            <w:pPr>
              <w:tabs>
                <w:tab w:val="left" w:pos="3209"/>
              </w:tabs>
              <w:spacing w:before="120" w:after="120" w:line="276" w:lineRule="auto"/>
              <w:rPr>
                <w:rFonts w:ascii="Arial" w:hAnsi="Arial" w:cs="Arial"/>
                <w:sz w:val="22"/>
                <w:szCs w:val="22"/>
                <w:lang w:val="fr-FR"/>
              </w:rPr>
            </w:pPr>
            <w:r w:rsidRPr="001C0DE9">
              <w:rPr>
                <w:rFonts w:ascii="Arial" w:hAnsi="Arial" w:cs="Arial"/>
                <w:sz w:val="22"/>
                <w:szCs w:val="22"/>
                <w:lang w:val="fr-FR"/>
              </w:rPr>
              <w:t xml:space="preserve">Effectuer un audit régulier du dossier et s’assurer du respect des protocoles et des principes. </w:t>
            </w:r>
          </w:p>
        </w:tc>
      </w:tr>
    </w:tbl>
    <w:p w:rsidR="001C0DE9" w:rsidRPr="001C0DE9" w:rsidRDefault="001C0DE9">
      <w:pPr>
        <w:rPr>
          <w:rFonts w:ascii="Arial" w:hAnsi="Arial" w:cs="Arial"/>
          <w:sz w:val="22"/>
          <w:szCs w:val="22"/>
          <w:lang w:val="fr-FR"/>
        </w:rPr>
      </w:pPr>
    </w:p>
    <w:sectPr w:rsidR="001C0DE9" w:rsidRPr="001C0DE9" w:rsidSect="005C7937">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DE9" w:rsidRDefault="001C0DE9" w:rsidP="001C0DE9">
      <w:r>
        <w:separator/>
      </w:r>
    </w:p>
  </w:endnote>
  <w:endnote w:type="continuationSeparator" w:id="0">
    <w:p w:rsidR="001C0DE9" w:rsidRDefault="001C0DE9" w:rsidP="001C0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DE9" w:rsidRDefault="001C0DE9" w:rsidP="001C0DE9">
      <w:r>
        <w:separator/>
      </w:r>
    </w:p>
  </w:footnote>
  <w:footnote w:type="continuationSeparator" w:id="0">
    <w:p w:rsidR="001C0DE9" w:rsidRDefault="001C0DE9" w:rsidP="001C0DE9">
      <w:r>
        <w:continuationSeparator/>
      </w:r>
    </w:p>
  </w:footnote>
  <w:footnote w:id="1">
    <w:p w:rsidR="001C0DE9" w:rsidRPr="001C0DE9" w:rsidRDefault="001C0DE9">
      <w:pPr>
        <w:pStyle w:val="FootnoteText"/>
        <w:rPr>
          <w:sz w:val="18"/>
          <w:szCs w:val="18"/>
          <w:lang w:val="fr-FR"/>
        </w:rPr>
      </w:pPr>
      <w:r>
        <w:rPr>
          <w:rStyle w:val="FootnoteReference"/>
        </w:rPr>
        <w:footnoteRef/>
      </w:r>
      <w:r>
        <w:t xml:space="preserve"> </w:t>
      </w:r>
      <w:r w:rsidRPr="001C0DE9">
        <w:rPr>
          <w:rFonts w:cs="Arial"/>
          <w:sz w:val="18"/>
          <w:szCs w:val="18"/>
        </w:rPr>
        <w:t>Inter Agency Guidelines For Case Management &amp; Child Protection - The role of case management in the protection of children:  A guide for policy &amp; programme managers and caseworkers</w:t>
      </w:r>
      <w:r w:rsidRPr="001C0DE9">
        <w:rPr>
          <w:sz w:val="18"/>
          <w:szCs w:val="18"/>
        </w:rPr>
        <w:t xml:space="preserve"> (2014) Case Management Task Force, Appendix 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DE9"/>
    <w:rsid w:val="001C0DE9"/>
    <w:rsid w:val="005C7937"/>
    <w:rsid w:val="00EB6EB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E713E0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1C0DE9"/>
  </w:style>
  <w:style w:type="character" w:customStyle="1" w:styleId="FootnoteTextChar">
    <w:name w:val="Footnote Text Char"/>
    <w:basedOn w:val="DefaultParagraphFont"/>
    <w:link w:val="FootnoteText"/>
    <w:uiPriority w:val="99"/>
    <w:rsid w:val="001C0DE9"/>
    <w:rPr>
      <w:lang w:val="en-GB"/>
    </w:rPr>
  </w:style>
  <w:style w:type="character" w:styleId="FootnoteReference">
    <w:name w:val="footnote reference"/>
    <w:basedOn w:val="DefaultParagraphFont"/>
    <w:uiPriority w:val="99"/>
    <w:unhideWhenUsed/>
    <w:rsid w:val="001C0DE9"/>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1C0DE9"/>
  </w:style>
  <w:style w:type="character" w:customStyle="1" w:styleId="FootnoteTextChar">
    <w:name w:val="Footnote Text Char"/>
    <w:basedOn w:val="DefaultParagraphFont"/>
    <w:link w:val="FootnoteText"/>
    <w:uiPriority w:val="99"/>
    <w:rsid w:val="001C0DE9"/>
    <w:rPr>
      <w:lang w:val="en-GB"/>
    </w:rPr>
  </w:style>
  <w:style w:type="character" w:styleId="FootnoteReference">
    <w:name w:val="footnote reference"/>
    <w:basedOn w:val="DefaultParagraphFont"/>
    <w:uiPriority w:val="99"/>
    <w:unhideWhenUsed/>
    <w:rsid w:val="001C0D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486</Words>
  <Characters>2774</Characters>
  <Application>Microsoft Macintosh Word</Application>
  <DocSecurity>0</DocSecurity>
  <Lines>23</Lines>
  <Paragraphs>6</Paragraphs>
  <ScaleCrop>false</ScaleCrop>
  <Company/>
  <LinksUpToDate>false</LinksUpToDate>
  <CharactersWithSpaces>3254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Sandra Maignant</cp:lastModifiedBy>
  <cp:revision>1</cp:revision>
  <dcterms:created xsi:type="dcterms:W3CDTF">2014-05-22T10:47:00Z</dcterms:created>
  <dcterms:modified xsi:type="dcterms:W3CDTF">2014-05-22T10:51:00Z</dcterms:modified>
</cp:coreProperties>
</file>